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E4" w:rsidRDefault="00D11EE4" w:rsidP="00D11EE4">
      <w:pPr>
        <w:adjustRightInd w:val="0"/>
        <w:snapToGrid w:val="0"/>
        <w:jc w:val="center"/>
        <w:rPr>
          <w:rFonts w:ascii="宋体" w:hAnsi="宋体"/>
          <w:b/>
          <w:color w:val="FF0000"/>
          <w:w w:val="75"/>
          <w:sz w:val="120"/>
        </w:rPr>
      </w:pPr>
      <w:r>
        <w:rPr>
          <w:rFonts w:ascii="宋体" w:hAnsi="宋体" w:hint="eastAsia"/>
          <w:b/>
          <w:color w:val="FF0000"/>
          <w:w w:val="75"/>
          <w:sz w:val="120"/>
        </w:rPr>
        <w:t>南 昌 大 学 文 件</w:t>
      </w:r>
    </w:p>
    <w:p w:rsidR="00D11EE4" w:rsidRDefault="00D11EE4" w:rsidP="00D11EE4">
      <w:pPr>
        <w:adjustRightInd w:val="0"/>
        <w:snapToGrid w:val="0"/>
        <w:spacing w:line="320" w:lineRule="exact"/>
        <w:jc w:val="center"/>
        <w:rPr>
          <w:rFonts w:ascii="仿宋_GB2312" w:eastAsia="仿宋_GB2312" w:hAnsi="Calibri"/>
          <w:sz w:val="32"/>
        </w:rPr>
      </w:pPr>
    </w:p>
    <w:p w:rsidR="00D11EE4" w:rsidRDefault="00D11EE4" w:rsidP="00D11EE4">
      <w:pPr>
        <w:adjustRightInd w:val="0"/>
        <w:snapToGrid w:val="0"/>
        <w:spacing w:line="320" w:lineRule="exact"/>
        <w:jc w:val="center"/>
        <w:rPr>
          <w:rFonts w:ascii="仿宋_GB2312" w:eastAsia="仿宋_GB2312"/>
          <w:sz w:val="32"/>
        </w:rPr>
      </w:pPr>
    </w:p>
    <w:p w:rsidR="00D11EE4" w:rsidRDefault="00D11EE4" w:rsidP="00D11EE4">
      <w:pPr>
        <w:adjustRightInd w:val="0"/>
        <w:snapToGrid w:val="0"/>
        <w:spacing w:line="320" w:lineRule="exact"/>
        <w:jc w:val="center"/>
        <w:rPr>
          <w:rFonts w:ascii="仿宋_GB2312" w:eastAsia="仿宋_GB2312" w:hAnsi="Calibri"/>
          <w:sz w:val="32"/>
        </w:rPr>
      </w:pPr>
    </w:p>
    <w:p w:rsidR="00D11EE4" w:rsidRDefault="00D11EE4" w:rsidP="00D11EE4">
      <w:pPr>
        <w:adjustRightInd w:val="0"/>
        <w:snapToGrid w:val="0"/>
        <w:spacing w:line="320" w:lineRule="exact"/>
        <w:jc w:val="center"/>
        <w:rPr>
          <w:rFonts w:ascii="仿宋_GB2312" w:eastAsia="仿宋_GB2312"/>
          <w:sz w:val="32"/>
        </w:rPr>
      </w:pPr>
    </w:p>
    <w:p w:rsidR="00D11EE4" w:rsidRDefault="00D11EE4" w:rsidP="00D11EE4">
      <w:pPr>
        <w:adjustRightInd w:val="0"/>
        <w:snapToGrid w:val="0"/>
        <w:ind w:firstLineChars="100" w:firstLine="320"/>
        <w:jc w:val="center"/>
        <w:rPr>
          <w:rFonts w:ascii="仿宋_GB2312" w:eastAsia="仿宋_GB2312"/>
          <w:sz w:val="32"/>
        </w:rPr>
      </w:pPr>
      <w:r>
        <w:rPr>
          <w:rFonts w:ascii="仿宋_GB2312" w:eastAsia="仿宋_GB2312" w:hint="eastAsia"/>
          <w:sz w:val="32"/>
        </w:rPr>
        <w:t>南大科字〔2016〕6号</w:t>
      </w:r>
    </w:p>
    <w:p w:rsidR="00D11EE4" w:rsidRDefault="00D11EE4" w:rsidP="00D11EE4">
      <w:pPr>
        <w:adjustRightInd w:val="0"/>
        <w:snapToGrid w:val="0"/>
        <w:spacing w:line="240" w:lineRule="exact"/>
        <w:jc w:val="left"/>
        <w:rPr>
          <w:rFonts w:ascii="仿宋_GB2312" w:eastAsia="仿宋_GB2312"/>
          <w:color w:val="FF0000"/>
          <w:position w:val="-12"/>
          <w:sz w:val="52"/>
          <w:u w:val="thick"/>
        </w:rPr>
      </w:pPr>
      <w:r>
        <w:rPr>
          <w:rFonts w:ascii="仿宋_GB2312" w:eastAsia="仿宋_GB2312" w:hint="eastAsia"/>
          <w:color w:val="FF0000"/>
          <w:sz w:val="28"/>
          <w:u w:val="thick"/>
        </w:rPr>
        <w:t xml:space="preserve">                                                             </w:t>
      </w:r>
    </w:p>
    <w:p w:rsidR="00D11EE4" w:rsidRDefault="00D11EE4" w:rsidP="00D11EE4">
      <w:pPr>
        <w:adjustRightInd w:val="0"/>
        <w:snapToGrid w:val="0"/>
        <w:spacing w:line="520" w:lineRule="exact"/>
        <w:jc w:val="center"/>
        <w:rPr>
          <w:rFonts w:ascii="仿宋_GB2312" w:eastAsia="仿宋_GB2312" w:hAnsi="宋体"/>
          <w:color w:val="FF3300"/>
          <w:sz w:val="32"/>
        </w:rPr>
      </w:pPr>
    </w:p>
    <w:p w:rsidR="00D11EE4" w:rsidRDefault="00D11EE4" w:rsidP="00D11EE4">
      <w:pPr>
        <w:adjustRightInd w:val="0"/>
        <w:snapToGrid w:val="0"/>
        <w:spacing w:line="520" w:lineRule="exact"/>
        <w:jc w:val="center"/>
        <w:rPr>
          <w:rFonts w:ascii="仿宋_GB2312" w:eastAsia="仿宋_GB2312" w:hAnsi="宋体"/>
          <w:color w:val="FF3300"/>
          <w:sz w:val="32"/>
        </w:rPr>
      </w:pPr>
    </w:p>
    <w:p w:rsidR="00D11EE4" w:rsidRDefault="00D11EE4" w:rsidP="00D11EE4">
      <w:pPr>
        <w:spacing w:line="600" w:lineRule="exact"/>
        <w:jc w:val="center"/>
        <w:rPr>
          <w:rFonts w:ascii="仿宋" w:eastAsia="仿宋" w:hAnsi="仿宋"/>
          <w:b/>
          <w:kern w:val="0"/>
          <w:sz w:val="32"/>
        </w:rPr>
      </w:pPr>
      <w:r>
        <w:rPr>
          <w:rFonts w:ascii="宋体" w:hAnsi="宋体" w:hint="eastAsia"/>
          <w:b/>
          <w:kern w:val="0"/>
          <w:sz w:val="44"/>
        </w:rPr>
        <w:t>南昌大学关于印发《南昌大学科技人员创新创业试点工作暂行办法》的通知</w:t>
      </w:r>
    </w:p>
    <w:p w:rsidR="00D11EE4" w:rsidRDefault="00D11EE4" w:rsidP="00D11EE4">
      <w:pPr>
        <w:spacing w:line="600" w:lineRule="exact"/>
        <w:ind w:firstLineChars="200" w:firstLine="643"/>
        <w:jc w:val="left"/>
        <w:rPr>
          <w:rFonts w:ascii="仿宋" w:eastAsia="仿宋" w:hAnsi="仿宋"/>
          <w:b/>
          <w:kern w:val="0"/>
          <w:sz w:val="32"/>
        </w:rPr>
      </w:pPr>
    </w:p>
    <w:p w:rsidR="00D11EE4" w:rsidRDefault="00D11EE4" w:rsidP="00D11EE4">
      <w:pPr>
        <w:spacing w:line="600" w:lineRule="exact"/>
        <w:jc w:val="left"/>
        <w:rPr>
          <w:rFonts w:ascii="仿宋_GB2312" w:eastAsia="仿宋_GB2312"/>
          <w:kern w:val="0"/>
          <w:sz w:val="32"/>
        </w:rPr>
      </w:pPr>
      <w:r>
        <w:rPr>
          <w:rFonts w:ascii="仿宋_GB2312" w:eastAsia="仿宋_GB2312" w:hint="eastAsia"/>
          <w:kern w:val="0"/>
          <w:sz w:val="32"/>
        </w:rPr>
        <w:t>校内各单位：</w:t>
      </w:r>
    </w:p>
    <w:p w:rsidR="00D11EE4" w:rsidRDefault="00D11EE4" w:rsidP="00D11EE4">
      <w:pPr>
        <w:spacing w:line="600" w:lineRule="exact"/>
        <w:ind w:firstLineChars="200" w:firstLine="640"/>
        <w:jc w:val="left"/>
        <w:rPr>
          <w:rFonts w:ascii="仿宋_GB2312" w:eastAsia="仿宋_GB2312"/>
          <w:kern w:val="0"/>
          <w:sz w:val="32"/>
        </w:rPr>
      </w:pPr>
      <w:r>
        <w:rPr>
          <w:rFonts w:ascii="仿宋_GB2312" w:eastAsia="仿宋_GB2312" w:hint="eastAsia"/>
          <w:kern w:val="0"/>
          <w:sz w:val="32"/>
        </w:rPr>
        <w:t>《南昌大学科技人员创新创业试点工作暂行办法》业经校长办公会审议，现予以下发，请遵照执行。</w:t>
      </w:r>
    </w:p>
    <w:p w:rsidR="00D11EE4" w:rsidRDefault="00D11EE4" w:rsidP="00D11EE4">
      <w:pPr>
        <w:spacing w:line="600" w:lineRule="exact"/>
        <w:ind w:firstLine="883"/>
        <w:jc w:val="left"/>
        <w:rPr>
          <w:rFonts w:ascii="仿宋_GB2312" w:eastAsia="仿宋_GB2312"/>
          <w:kern w:val="0"/>
          <w:sz w:val="32"/>
        </w:rPr>
      </w:pPr>
    </w:p>
    <w:p w:rsidR="00D11EE4" w:rsidRDefault="00D11EE4" w:rsidP="00D11EE4">
      <w:pPr>
        <w:spacing w:line="600" w:lineRule="exact"/>
        <w:ind w:rightChars="782" w:right="1642" w:firstLine="883"/>
        <w:jc w:val="right"/>
        <w:rPr>
          <w:rFonts w:ascii="仿宋_GB2312" w:eastAsia="仿宋_GB2312"/>
          <w:kern w:val="0"/>
          <w:sz w:val="32"/>
        </w:rPr>
      </w:pPr>
      <w:r>
        <w:rPr>
          <w:rFonts w:ascii="仿宋_GB2312" w:eastAsia="仿宋_GB2312" w:hint="eastAsia"/>
          <w:kern w:val="0"/>
          <w:sz w:val="32"/>
        </w:rPr>
        <w:t>南 昌 大 学</w:t>
      </w:r>
    </w:p>
    <w:p w:rsidR="00D11EE4" w:rsidRDefault="00D11EE4" w:rsidP="00D11EE4">
      <w:pPr>
        <w:wordWrap w:val="0"/>
        <w:spacing w:line="600" w:lineRule="exact"/>
        <w:ind w:rightChars="611" w:right="1283" w:firstLine="883"/>
        <w:jc w:val="right"/>
        <w:rPr>
          <w:rFonts w:ascii="仿宋_GB2312" w:eastAsia="仿宋_GB2312"/>
          <w:kern w:val="0"/>
          <w:sz w:val="32"/>
        </w:rPr>
      </w:pPr>
      <w:r>
        <w:rPr>
          <w:rFonts w:ascii="仿宋_GB2312" w:eastAsia="仿宋_GB2312" w:hint="eastAsia"/>
          <w:kern w:val="0"/>
          <w:sz w:val="32"/>
        </w:rPr>
        <w:t>2016年5月2日</w:t>
      </w:r>
    </w:p>
    <w:p w:rsidR="00D11EE4" w:rsidRDefault="00D11EE4" w:rsidP="00D11EE4">
      <w:pPr>
        <w:pStyle w:val="1"/>
      </w:pPr>
      <w:r>
        <w:rPr>
          <w:rFonts w:ascii="仿宋_GB2312" w:eastAsia="仿宋_GB2312" w:hint="eastAsia"/>
        </w:rPr>
        <w:br w:type="page"/>
      </w:r>
      <w:bookmarkStart w:id="0" w:name="_Toc9362"/>
      <w:r>
        <w:rPr>
          <w:rFonts w:hint="eastAsia"/>
        </w:rPr>
        <w:lastRenderedPageBreak/>
        <w:t>南昌大学科技人员创新创业试点工作</w:t>
      </w:r>
      <w:bookmarkEnd w:id="0"/>
    </w:p>
    <w:p w:rsidR="00D11EE4" w:rsidRDefault="00D11EE4" w:rsidP="00D11EE4">
      <w:pPr>
        <w:pStyle w:val="1"/>
      </w:pPr>
      <w:bookmarkStart w:id="1" w:name="_Toc23953"/>
      <w:bookmarkStart w:id="2" w:name="_Toc17860"/>
      <w:r>
        <w:rPr>
          <w:rFonts w:hint="eastAsia"/>
        </w:rPr>
        <w:t>暂行办法</w:t>
      </w:r>
      <w:bookmarkEnd w:id="1"/>
      <w:bookmarkEnd w:id="2"/>
    </w:p>
    <w:p w:rsidR="00D11EE4" w:rsidRDefault="00D11EE4" w:rsidP="00D11EE4">
      <w:pPr>
        <w:pStyle w:val="1"/>
      </w:pPr>
      <w:bookmarkStart w:id="3" w:name="_Toc15159"/>
      <w:bookmarkStart w:id="4" w:name="_Toc32142"/>
      <w:r>
        <w:rPr>
          <w:rFonts w:hint="eastAsia"/>
        </w:rPr>
        <w:t>南大科字〔</w:t>
      </w:r>
      <w:r>
        <w:rPr>
          <w:rFonts w:hint="eastAsia"/>
        </w:rPr>
        <w:t>2016</w:t>
      </w:r>
      <w:r>
        <w:rPr>
          <w:rFonts w:hint="eastAsia"/>
        </w:rPr>
        <w:t>〕</w:t>
      </w:r>
      <w:r>
        <w:rPr>
          <w:rFonts w:hint="eastAsia"/>
        </w:rPr>
        <w:t>6</w:t>
      </w:r>
      <w:r>
        <w:rPr>
          <w:rFonts w:hint="eastAsia"/>
        </w:rPr>
        <w:t>号</w:t>
      </w:r>
      <w:bookmarkEnd w:id="3"/>
      <w:bookmarkEnd w:id="4"/>
    </w:p>
    <w:p w:rsidR="00D11EE4" w:rsidRDefault="00D11EE4" w:rsidP="00D11EE4">
      <w:pPr>
        <w:adjustRightInd w:val="0"/>
        <w:snapToGrid w:val="0"/>
        <w:spacing w:line="560" w:lineRule="exact"/>
        <w:jc w:val="center"/>
        <w:rPr>
          <w:rFonts w:ascii="宋体" w:hAnsi="宋体"/>
          <w:b/>
          <w:kern w:val="0"/>
          <w:sz w:val="44"/>
        </w:rPr>
      </w:pP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 xml:space="preserve">    为贯彻落实《中华人民共和国促进科技成果转化法》《国务院实施促进科技成果转化法若干规定》和江西省委、省政府《关于鼓励省属独立科研院所科技人员创新创业的试点办法》《江西省鼓励科技人员创新创业的若干规定》的文件精神，激励科技人员创新创业，完善科技成果使用、处置和收益管理，结合学校工作实际，特制订本办法。</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 xml:space="preserve">    第一条  学校成立科技人员创新创业领导小组（以下简称领导小组），统筹科技人员创新创业和科技成果转化的管理，制定学校科技成果转化的规划和相关政策；全权处置学校知识产权收益；审批创新创业人事问题；协同推进科技成果转化与产业化工作。</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 xml:space="preserve">    领导小组下设工作办公室（以下简称办公室），挂靠科学技术处，负责领导小组日常工作。对科技成果转化及收益分配中的重要事项，报领导小组审批，对特别重大的事项报校长办公会决策。</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 xml:space="preserve">    第二条　申请离岗创新创业的人员应提供创新创业计划书、离岗创新创业申请书等书面材料，经所在部门同意，向办公室提出申请，办公室商人事处同意后，由人事处办理相关手续，并签订离岗创新创业协议。</w:t>
      </w:r>
    </w:p>
    <w:p w:rsidR="00D11EE4" w:rsidRDefault="00D11EE4" w:rsidP="00D11EE4">
      <w:pPr>
        <w:adjustRightInd w:val="0"/>
        <w:snapToGrid w:val="0"/>
        <w:spacing w:line="560" w:lineRule="exact"/>
        <w:ind w:firstLineChars="200" w:firstLine="640"/>
        <w:rPr>
          <w:rFonts w:ascii="仿宋_GB2312" w:eastAsia="仿宋_GB2312"/>
          <w:kern w:val="0"/>
          <w:sz w:val="32"/>
        </w:rPr>
      </w:pPr>
      <w:r>
        <w:rPr>
          <w:rFonts w:ascii="仿宋_GB2312" w:eastAsia="仿宋_GB2312" w:hint="eastAsia"/>
          <w:kern w:val="0"/>
          <w:sz w:val="32"/>
        </w:rPr>
        <w:t>离岗3年内，学校保留其人事关系。</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lastRenderedPageBreak/>
        <w:t xml:space="preserve">    第三条  经批准的离岗创新创业人员，离岗期间与在岗人员同等享有参加专业技术职务评聘，岗位等级晋升的权利，专业技术职务任职年限和岗位聘任年限连续计算。获得专业技术职务晋升或岗位等级晋升的人员回校复职，可按照晋升的专业技术职务或岗位等级待遇安排工作。</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 xml:space="preserve">    第四条  离岗期间，学校停发其工资福利等待遇，其档案工资可正常调整。离岗期内或期满要求回学校工作的，按其具有的专业技术职务和岗位等级待遇安排工作；离岗期满，3个月内不回学校办理复职、调动或辞职等手续的，按自动离职处理。离岗期间，“五险</w:t>
      </w:r>
      <w:proofErr w:type="gramStart"/>
      <w:r>
        <w:rPr>
          <w:rFonts w:ascii="仿宋_GB2312" w:eastAsia="仿宋_GB2312" w:hint="eastAsia"/>
          <w:kern w:val="0"/>
          <w:sz w:val="32"/>
        </w:rPr>
        <w:t>一</w:t>
      </w:r>
      <w:proofErr w:type="gramEnd"/>
      <w:r>
        <w:rPr>
          <w:rFonts w:ascii="仿宋_GB2312" w:eastAsia="仿宋_GB2312" w:hint="eastAsia"/>
          <w:kern w:val="0"/>
          <w:sz w:val="32"/>
        </w:rPr>
        <w:t>金”由其本人承担个人缴纳部分。离岗期满后回学校工作的，由学校按规定接续。</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 xml:space="preserve">    离岗期间，科技人员必须每年度按照办公室、人事处及所在部门的要求书面报告创新创业等情况。所在部门依据书面报告对离岗创新创业的人员进行年度考核，并将年度考核结果记入人事档案。</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 xml:space="preserve">    第五条　允许科技人员在岗创新创业。在编在岗科技人员在按要求完成岗位职责任务的前提下，可依法利用本人及所在研发团队的科技成果在岗（或兼职）到企业等从事科技成果转化活动。</w:t>
      </w:r>
    </w:p>
    <w:p w:rsidR="00D11EE4" w:rsidRDefault="00D11EE4" w:rsidP="00D11EE4">
      <w:pPr>
        <w:adjustRightInd w:val="0"/>
        <w:snapToGrid w:val="0"/>
        <w:spacing w:line="560" w:lineRule="exact"/>
        <w:ind w:firstLine="645"/>
        <w:rPr>
          <w:rFonts w:ascii="仿宋_GB2312" w:eastAsia="仿宋_GB2312"/>
          <w:kern w:val="0"/>
          <w:sz w:val="32"/>
        </w:rPr>
      </w:pPr>
      <w:r>
        <w:rPr>
          <w:rFonts w:ascii="仿宋_GB2312" w:eastAsia="仿宋_GB2312" w:hint="eastAsia"/>
          <w:kern w:val="0"/>
          <w:sz w:val="32"/>
        </w:rPr>
        <w:t>在岗创办企业的，应在企业注册之日起30个工作日内，将本人及所在研发团队的科技成果证书、企业营业执照、企业法人证书复印件报办公室、人事处备案。持有企业股权的，应在持有股权之日起30个工作日内，将股权证明复印件报办公室、人事处、资产经营公司备案。</w:t>
      </w:r>
    </w:p>
    <w:p w:rsidR="00D11EE4" w:rsidRDefault="00D11EE4" w:rsidP="00D11EE4">
      <w:pPr>
        <w:adjustRightInd w:val="0"/>
        <w:snapToGrid w:val="0"/>
        <w:spacing w:line="560" w:lineRule="exact"/>
        <w:ind w:firstLine="645"/>
        <w:rPr>
          <w:rFonts w:ascii="仿宋_GB2312" w:eastAsia="仿宋_GB2312"/>
          <w:kern w:val="0"/>
          <w:sz w:val="32"/>
        </w:rPr>
      </w:pPr>
      <w:r>
        <w:rPr>
          <w:rFonts w:ascii="仿宋_GB2312" w:eastAsia="仿宋_GB2312" w:hint="eastAsia"/>
          <w:kern w:val="0"/>
          <w:sz w:val="32"/>
        </w:rPr>
        <w:lastRenderedPageBreak/>
        <w:t>兼职到企业等从事科技成果转化活动人员须在所在部门登记备案。</w:t>
      </w:r>
    </w:p>
    <w:p w:rsidR="00D11EE4" w:rsidRDefault="00D11EE4" w:rsidP="00D11EE4">
      <w:pPr>
        <w:adjustRightInd w:val="0"/>
        <w:snapToGrid w:val="0"/>
        <w:spacing w:line="560" w:lineRule="exact"/>
        <w:ind w:firstLine="645"/>
        <w:rPr>
          <w:rFonts w:ascii="仿宋_GB2312" w:eastAsia="仿宋_GB2312"/>
          <w:kern w:val="0"/>
          <w:sz w:val="32"/>
        </w:rPr>
      </w:pPr>
      <w:r>
        <w:rPr>
          <w:rFonts w:ascii="仿宋_GB2312" w:eastAsia="仿宋_GB2312" w:hint="eastAsia"/>
          <w:kern w:val="0"/>
          <w:sz w:val="32"/>
        </w:rPr>
        <w:t xml:space="preserve">第六条 </w:t>
      </w:r>
      <w:r>
        <w:rPr>
          <w:rFonts w:ascii="仿宋_GB2312" w:eastAsia="仿宋_GB2312" w:hint="eastAsia"/>
          <w:color w:val="000000"/>
          <w:kern w:val="0"/>
          <w:sz w:val="32"/>
        </w:rPr>
        <w:t>担任处级及以上领导职务的科技人员离岗或在岗创新创业，应按国家有关规定辞去领导职务，不再保留相应职级待遇。离岗3年内或在岗创新创业，要求重新担任领导职务的，应先辞去在企业实职，转让本人股权，向办公室递交申请。学校组织部和纪检监察部门对其经营活动的合法性进行审查。之后根据岗位空缺等情况，按照《党政领导干部选拔任用工作条例》和《南昌大学处级干部选拔任用暂行办法》等相关规定和程序重新确定职务职级。</w:t>
      </w:r>
    </w:p>
    <w:p w:rsidR="00D11EE4" w:rsidRDefault="00D11EE4" w:rsidP="00D11EE4">
      <w:pPr>
        <w:adjustRightInd w:val="0"/>
        <w:snapToGrid w:val="0"/>
        <w:spacing w:line="560" w:lineRule="exact"/>
        <w:ind w:firstLine="645"/>
        <w:rPr>
          <w:rFonts w:ascii="仿宋_GB2312" w:eastAsia="仿宋_GB2312"/>
          <w:kern w:val="0"/>
          <w:sz w:val="32"/>
        </w:rPr>
      </w:pPr>
      <w:r>
        <w:rPr>
          <w:rFonts w:ascii="仿宋_GB2312" w:eastAsia="仿宋_GB2312" w:hint="eastAsia"/>
          <w:kern w:val="0"/>
          <w:sz w:val="32"/>
        </w:rPr>
        <w:t>第七条 学校的正职领导（以及校属具有独立法人资格单位的正职领导），是科技成果的主要完成人或者对科技成果转化做出重要贡献的，可以按照规定获得现金奖励，原则上不得获取股权激励；而其他领导则可以获得现金、股份或者出资比例等奖励和报酬。</w:t>
      </w:r>
      <w:r>
        <w:rPr>
          <w:rFonts w:ascii="仿宋_GB2312" w:eastAsia="仿宋_GB2312" w:hint="eastAsia"/>
          <w:kern w:val="0"/>
          <w:sz w:val="32"/>
        </w:rPr>
        <w:br/>
        <w:t xml:space="preserve">　　领导的科技成果转化收益分配实行公开公示制度，不得利用职权侵占他人科技成果转化收益。</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 xml:space="preserve">    第八条　科技人员在职或离岗创新创业、实施科技成果转化，在保障学校利益不受损害的前提下，实行自主经营、自负盈亏，并承担经营等相关风险；开展科技创新创业活动应遵守国家法律法规，并承担相应法律责任。</w:t>
      </w:r>
    </w:p>
    <w:p w:rsidR="00D11EE4" w:rsidRDefault="00D11EE4" w:rsidP="00D11EE4">
      <w:pPr>
        <w:adjustRightInd w:val="0"/>
        <w:snapToGrid w:val="0"/>
        <w:spacing w:line="560" w:lineRule="exact"/>
        <w:ind w:firstLineChars="200" w:firstLine="640"/>
        <w:rPr>
          <w:rFonts w:ascii="仿宋_GB2312" w:eastAsia="仿宋_GB2312"/>
          <w:kern w:val="0"/>
          <w:sz w:val="32"/>
        </w:rPr>
      </w:pPr>
      <w:r>
        <w:rPr>
          <w:rFonts w:ascii="仿宋_GB2312" w:eastAsia="仿宋_GB2312" w:hint="eastAsia"/>
          <w:kern w:val="0"/>
          <w:sz w:val="32"/>
        </w:rPr>
        <w:t>第九条　学校成立南昌大学科技成果转化中心（暂隶属科技处，以下简称转化中心）。转化中心具体管理科技成果转化工作，制定实施细则，组建专业的成果转化服务团队，</w:t>
      </w:r>
      <w:r>
        <w:rPr>
          <w:rFonts w:ascii="仿宋_GB2312" w:eastAsia="仿宋_GB2312" w:hint="eastAsia"/>
          <w:kern w:val="0"/>
          <w:sz w:val="32"/>
        </w:rPr>
        <w:lastRenderedPageBreak/>
        <w:t>打造开放式成果转化平台，促进重大科技成果转化，力争尽快成为国家技术转移示范机构。</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 xml:space="preserve">    第十条　学校所持有的科技成果转化所获得的收入全部留归学校所有，纳入学校预算，不上缴国库。科技成果转化收入除用于人员奖励外，其余部分用于科研、知识产权管理及科技成果转化的日常管理工作。用于人员奖励的支出部分，不纳入单位的绩效工资总和。</w:t>
      </w:r>
    </w:p>
    <w:p w:rsidR="00D11EE4" w:rsidRDefault="00D11EE4" w:rsidP="00D11EE4">
      <w:pPr>
        <w:adjustRightInd w:val="0"/>
        <w:snapToGrid w:val="0"/>
        <w:spacing w:line="560" w:lineRule="exact"/>
        <w:ind w:firstLineChars="200" w:firstLine="640"/>
        <w:rPr>
          <w:rFonts w:ascii="仿宋_GB2312" w:eastAsia="仿宋_GB2312"/>
          <w:kern w:val="0"/>
          <w:sz w:val="32"/>
        </w:rPr>
      </w:pPr>
      <w:r>
        <w:rPr>
          <w:rFonts w:ascii="仿宋_GB2312" w:eastAsia="仿宋_GB2312" w:hint="eastAsia"/>
          <w:kern w:val="0"/>
          <w:sz w:val="32"/>
        </w:rPr>
        <w:t>第十一条  成果转化人员为科技成果转化的责任主体，对成果转化合同承担法律责任，转化中心为科技人员成果转化提供相应的支持和服务。在职称评审中，将技术应用、成果转移转化、有效专利等一并作为评审的重要条件，对业绩突出的人员，可以破格晋升职称。</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 xml:space="preserve">    第十二条  各二级单位、科研团队或个人开展科技成果转化活动之前，到转化中心领取并填写科技成果转化申报表。成果转化人员和成果需求单位在充分协商的基础上提出协议文本（合同）初稿。协议文本（合同）及申报表报转化中心审核批准。成果转化合同正式文本一份交办公室存档。合同一经签订，即产生法律效力。（协议定价的科技成果在学校公示成果名称和</w:t>
      </w:r>
      <w:proofErr w:type="gramStart"/>
      <w:r>
        <w:rPr>
          <w:rFonts w:ascii="仿宋_GB2312" w:eastAsia="仿宋_GB2312" w:hint="eastAsia"/>
          <w:kern w:val="0"/>
          <w:sz w:val="32"/>
        </w:rPr>
        <w:t>拟交易</w:t>
      </w:r>
      <w:proofErr w:type="gramEnd"/>
      <w:r>
        <w:rPr>
          <w:rFonts w:ascii="仿宋_GB2312" w:eastAsia="仿宋_GB2312" w:hint="eastAsia"/>
          <w:kern w:val="0"/>
          <w:sz w:val="32"/>
        </w:rPr>
        <w:t>价格，公示时间不少于15日。）</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 xml:space="preserve">    第十三条  科技成果转化收益的60%到95%奖励给参与研发的科研团队和科技人员，科技成果转化的净收入可参照下表按比例提取奖励或参照7:2:1的分配比例来确定科研团队及个人（70%）、学院（20%）和学校（10%）的奖励分配。团队及个人奖励部分可由团队用于科研、知识产权管理、成</w:t>
      </w:r>
      <w:r>
        <w:rPr>
          <w:rFonts w:ascii="仿宋_GB2312" w:eastAsia="仿宋_GB2312" w:hint="eastAsia"/>
          <w:kern w:val="0"/>
          <w:sz w:val="32"/>
        </w:rPr>
        <w:lastRenderedPageBreak/>
        <w:t>果转化工作以及科研人员的绩效奖励，主要贡献人员获得的奖励份额不低于奖励总额的50%。科研人员奖励部分分配由团队负责人按贡献大小提出具体分配方案报转化中心备案后实施。</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学校科技成果转化收益分配比例表（参照）</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单位：万元</w:t>
      </w:r>
    </w:p>
    <w:tbl>
      <w:tblPr>
        <w:tblW w:w="0" w:type="auto"/>
        <w:jc w:val="center"/>
        <w:tblLayout w:type="fixed"/>
        <w:tblLook w:val="04A0"/>
      </w:tblPr>
      <w:tblGrid>
        <w:gridCol w:w="1952"/>
        <w:gridCol w:w="1093"/>
        <w:gridCol w:w="1476"/>
        <w:gridCol w:w="2427"/>
        <w:gridCol w:w="2004"/>
      </w:tblGrid>
      <w:tr w:rsidR="00D11EE4" w:rsidTr="00AF58A1">
        <w:trPr>
          <w:jc w:val="center"/>
        </w:trPr>
        <w:tc>
          <w:tcPr>
            <w:tcW w:w="1952" w:type="dxa"/>
            <w:tcBorders>
              <w:top w:val="single" w:sz="4" w:space="0" w:color="auto"/>
              <w:left w:val="single" w:sz="4" w:space="0" w:color="auto"/>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科技成果转移转化的净收入</w:t>
            </w:r>
          </w:p>
        </w:tc>
        <w:tc>
          <w:tcPr>
            <w:tcW w:w="1093"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提取奖励比例</w:t>
            </w:r>
          </w:p>
        </w:tc>
        <w:tc>
          <w:tcPr>
            <w:tcW w:w="1476"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奖励金额</w:t>
            </w:r>
          </w:p>
        </w:tc>
        <w:tc>
          <w:tcPr>
            <w:tcW w:w="2427"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团队占比</w:t>
            </w:r>
          </w:p>
        </w:tc>
        <w:tc>
          <w:tcPr>
            <w:tcW w:w="2004"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科技人员占比</w:t>
            </w:r>
          </w:p>
        </w:tc>
      </w:tr>
      <w:tr w:rsidR="00D11EE4" w:rsidTr="00AF58A1">
        <w:trPr>
          <w:jc w:val="center"/>
        </w:trPr>
        <w:tc>
          <w:tcPr>
            <w:tcW w:w="1952" w:type="dxa"/>
            <w:tcBorders>
              <w:top w:val="single" w:sz="4" w:space="0" w:color="auto"/>
              <w:left w:val="single" w:sz="4" w:space="0" w:color="auto"/>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30万元以下</w:t>
            </w:r>
          </w:p>
        </w:tc>
        <w:tc>
          <w:tcPr>
            <w:tcW w:w="1093"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95%</w:t>
            </w:r>
          </w:p>
        </w:tc>
        <w:tc>
          <w:tcPr>
            <w:tcW w:w="1476"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0-28.5</w:t>
            </w:r>
          </w:p>
        </w:tc>
        <w:tc>
          <w:tcPr>
            <w:tcW w:w="2427"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酌情考虑</w:t>
            </w:r>
          </w:p>
        </w:tc>
        <w:tc>
          <w:tcPr>
            <w:tcW w:w="2004"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p>
        </w:tc>
      </w:tr>
      <w:tr w:rsidR="00D11EE4" w:rsidTr="00AF58A1">
        <w:trPr>
          <w:jc w:val="center"/>
        </w:trPr>
        <w:tc>
          <w:tcPr>
            <w:tcW w:w="1952" w:type="dxa"/>
            <w:tcBorders>
              <w:top w:val="single" w:sz="4" w:space="0" w:color="auto"/>
              <w:left w:val="single" w:sz="4" w:space="0" w:color="auto"/>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30-50万元</w:t>
            </w:r>
          </w:p>
        </w:tc>
        <w:tc>
          <w:tcPr>
            <w:tcW w:w="1093"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90%</w:t>
            </w:r>
          </w:p>
        </w:tc>
        <w:tc>
          <w:tcPr>
            <w:tcW w:w="1476"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28.5-46.5</w:t>
            </w:r>
          </w:p>
        </w:tc>
        <w:tc>
          <w:tcPr>
            <w:tcW w:w="2427"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不低于20%</w:t>
            </w:r>
          </w:p>
        </w:tc>
        <w:tc>
          <w:tcPr>
            <w:tcW w:w="2004"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不高于80%</w:t>
            </w:r>
          </w:p>
        </w:tc>
      </w:tr>
      <w:tr w:rsidR="00D11EE4" w:rsidTr="00AF58A1">
        <w:trPr>
          <w:jc w:val="center"/>
        </w:trPr>
        <w:tc>
          <w:tcPr>
            <w:tcW w:w="1952" w:type="dxa"/>
            <w:tcBorders>
              <w:top w:val="single" w:sz="4" w:space="0" w:color="auto"/>
              <w:left w:val="single" w:sz="4" w:space="0" w:color="auto"/>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50-100万元</w:t>
            </w:r>
          </w:p>
        </w:tc>
        <w:tc>
          <w:tcPr>
            <w:tcW w:w="1093"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85%</w:t>
            </w:r>
          </w:p>
        </w:tc>
        <w:tc>
          <w:tcPr>
            <w:tcW w:w="1476"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46.5-89</w:t>
            </w:r>
          </w:p>
        </w:tc>
        <w:tc>
          <w:tcPr>
            <w:tcW w:w="2427"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不低于25%</w:t>
            </w:r>
          </w:p>
        </w:tc>
        <w:tc>
          <w:tcPr>
            <w:tcW w:w="2004"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不高于75%</w:t>
            </w:r>
          </w:p>
        </w:tc>
      </w:tr>
      <w:tr w:rsidR="00D11EE4" w:rsidTr="00AF58A1">
        <w:trPr>
          <w:jc w:val="center"/>
        </w:trPr>
        <w:tc>
          <w:tcPr>
            <w:tcW w:w="1952" w:type="dxa"/>
            <w:tcBorders>
              <w:top w:val="single" w:sz="4" w:space="0" w:color="auto"/>
              <w:left w:val="single" w:sz="4" w:space="0" w:color="auto"/>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100-300万元</w:t>
            </w:r>
          </w:p>
        </w:tc>
        <w:tc>
          <w:tcPr>
            <w:tcW w:w="1093"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80%</w:t>
            </w:r>
          </w:p>
        </w:tc>
        <w:tc>
          <w:tcPr>
            <w:tcW w:w="1476"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89-249</w:t>
            </w:r>
          </w:p>
        </w:tc>
        <w:tc>
          <w:tcPr>
            <w:tcW w:w="2427"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不低于30%</w:t>
            </w:r>
          </w:p>
        </w:tc>
        <w:tc>
          <w:tcPr>
            <w:tcW w:w="2004"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不高于70%</w:t>
            </w:r>
          </w:p>
        </w:tc>
      </w:tr>
      <w:tr w:rsidR="00D11EE4" w:rsidTr="00AF58A1">
        <w:trPr>
          <w:jc w:val="center"/>
        </w:trPr>
        <w:tc>
          <w:tcPr>
            <w:tcW w:w="1952" w:type="dxa"/>
            <w:tcBorders>
              <w:top w:val="single" w:sz="4" w:space="0" w:color="auto"/>
              <w:left w:val="single" w:sz="4" w:space="0" w:color="auto"/>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300-800万元</w:t>
            </w:r>
          </w:p>
        </w:tc>
        <w:tc>
          <w:tcPr>
            <w:tcW w:w="1093"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70%</w:t>
            </w:r>
          </w:p>
        </w:tc>
        <w:tc>
          <w:tcPr>
            <w:tcW w:w="1476"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249-599</w:t>
            </w:r>
          </w:p>
        </w:tc>
        <w:tc>
          <w:tcPr>
            <w:tcW w:w="2427"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不低于35%</w:t>
            </w:r>
          </w:p>
        </w:tc>
        <w:tc>
          <w:tcPr>
            <w:tcW w:w="2004"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不高于65%</w:t>
            </w:r>
          </w:p>
        </w:tc>
      </w:tr>
      <w:tr w:rsidR="00D11EE4" w:rsidTr="00AF58A1">
        <w:trPr>
          <w:jc w:val="center"/>
        </w:trPr>
        <w:tc>
          <w:tcPr>
            <w:tcW w:w="1952" w:type="dxa"/>
            <w:tcBorders>
              <w:top w:val="single" w:sz="4" w:space="0" w:color="auto"/>
              <w:left w:val="single" w:sz="4" w:space="0" w:color="auto"/>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800万元以上</w:t>
            </w:r>
          </w:p>
        </w:tc>
        <w:tc>
          <w:tcPr>
            <w:tcW w:w="1093"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60%</w:t>
            </w:r>
          </w:p>
        </w:tc>
        <w:tc>
          <w:tcPr>
            <w:tcW w:w="1476"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599－</w:t>
            </w:r>
          </w:p>
        </w:tc>
        <w:tc>
          <w:tcPr>
            <w:tcW w:w="2427"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不低于40%</w:t>
            </w:r>
          </w:p>
        </w:tc>
        <w:tc>
          <w:tcPr>
            <w:tcW w:w="2004" w:type="dxa"/>
            <w:tcBorders>
              <w:top w:val="single" w:sz="4" w:space="0" w:color="auto"/>
              <w:left w:val="nil"/>
              <w:bottom w:val="single" w:sz="4" w:space="0" w:color="auto"/>
              <w:right w:val="single" w:sz="4" w:space="0" w:color="auto"/>
              <w:tl2br w:val="nil"/>
              <w:tr2bl w:val="nil"/>
            </w:tcBorders>
            <w:vAlign w:val="center"/>
          </w:tcPr>
          <w:p w:rsidR="00D11EE4" w:rsidRDefault="00D11EE4" w:rsidP="00AF58A1">
            <w:pPr>
              <w:adjustRightInd w:val="0"/>
              <w:snapToGrid w:val="0"/>
              <w:spacing w:line="560" w:lineRule="exact"/>
              <w:rPr>
                <w:rFonts w:ascii="仿宋_GB2312" w:eastAsia="仿宋_GB2312"/>
                <w:kern w:val="0"/>
                <w:sz w:val="28"/>
              </w:rPr>
            </w:pPr>
            <w:r>
              <w:rPr>
                <w:rFonts w:ascii="仿宋_GB2312" w:eastAsia="仿宋_GB2312" w:hint="eastAsia"/>
                <w:kern w:val="0"/>
                <w:sz w:val="28"/>
              </w:rPr>
              <w:t>不高于60%</w:t>
            </w:r>
          </w:p>
        </w:tc>
      </w:tr>
    </w:tbl>
    <w:p w:rsidR="00D11EE4" w:rsidRDefault="00D11EE4" w:rsidP="00D11EE4">
      <w:pPr>
        <w:adjustRightInd w:val="0"/>
        <w:snapToGrid w:val="0"/>
        <w:spacing w:line="560" w:lineRule="exact"/>
        <w:rPr>
          <w:rFonts w:ascii="仿宋_GB2312" w:eastAsia="仿宋_GB2312"/>
          <w:kern w:val="0"/>
          <w:sz w:val="28"/>
        </w:rPr>
      </w:pPr>
      <w:r>
        <w:rPr>
          <w:rFonts w:ascii="仿宋_GB2312" w:eastAsia="仿宋_GB2312" w:hint="eastAsia"/>
          <w:kern w:val="0"/>
          <w:sz w:val="28"/>
        </w:rPr>
        <w:t>注：提取奖励额采取累进制计算。</w:t>
      </w:r>
    </w:p>
    <w:p w:rsidR="00D11EE4" w:rsidRDefault="00D11EE4" w:rsidP="00D11EE4">
      <w:pPr>
        <w:adjustRightInd w:val="0"/>
        <w:snapToGrid w:val="0"/>
        <w:spacing w:line="560" w:lineRule="exact"/>
        <w:rPr>
          <w:rFonts w:ascii="仿宋_GB2312" w:eastAsia="仿宋_GB2312"/>
          <w:kern w:val="0"/>
          <w:sz w:val="28"/>
        </w:rPr>
      </w:pPr>
      <w:r>
        <w:rPr>
          <w:rFonts w:ascii="仿宋_GB2312" w:eastAsia="仿宋_GB2312" w:hint="eastAsia"/>
          <w:kern w:val="0"/>
          <w:sz w:val="28"/>
        </w:rPr>
        <w:t>例：科技成果转移转化的净收入800万元，可提取奖励收益为30*95%+20*90%+50*85%+200*80%+500*70%＝599万元；团队分配额不低于20*90%*0.2+50*85%*0.25+200*80%*0.3+500*70%*0.35＝184.725万元；团队成员分配额为不高于599-184.725＝414.275万元。</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 xml:space="preserve">    第十四条　科技成果对外投资形式的股权，可以按科技成果作价金额的一定比例折算为股权奖励给相关科技人员。股权奖励比例小于20%，由转化中心审批；股权奖励比例小于50%的报领导小组审批，股权奖励比例超过50%的可先由</w:t>
      </w:r>
      <w:r>
        <w:rPr>
          <w:rFonts w:ascii="仿宋_GB2312" w:eastAsia="仿宋_GB2312" w:hint="eastAsia"/>
          <w:kern w:val="0"/>
          <w:sz w:val="32"/>
        </w:rPr>
        <w:lastRenderedPageBreak/>
        <w:t>领导小组提出意见，报学校校长办公会审议。如确有必要，提交学校教职工代表大会讨论决定。</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 xml:space="preserve">    第十五条　学校对成果转化产生净收益的科研人员按照《南昌大学成果类奖励实施细则》中社会服务类奖励额度进行奖励，奖励资金从</w:t>
      </w:r>
      <w:proofErr w:type="gramStart"/>
      <w:r>
        <w:rPr>
          <w:rFonts w:ascii="仿宋_GB2312" w:eastAsia="仿宋_GB2312" w:hint="eastAsia"/>
          <w:kern w:val="0"/>
          <w:sz w:val="32"/>
        </w:rPr>
        <w:t>校本级</w:t>
      </w:r>
      <w:proofErr w:type="gramEnd"/>
      <w:r>
        <w:rPr>
          <w:rFonts w:ascii="仿宋_GB2312" w:eastAsia="仿宋_GB2312" w:hint="eastAsia"/>
          <w:kern w:val="0"/>
          <w:sz w:val="32"/>
        </w:rPr>
        <w:t>财政支出。</w:t>
      </w:r>
    </w:p>
    <w:p w:rsidR="00D11EE4" w:rsidRDefault="00D11EE4" w:rsidP="00D11EE4">
      <w:pPr>
        <w:adjustRightInd w:val="0"/>
        <w:snapToGrid w:val="0"/>
        <w:spacing w:line="560" w:lineRule="exact"/>
        <w:ind w:firstLineChars="200" w:firstLine="640"/>
        <w:rPr>
          <w:rFonts w:ascii="仿宋_GB2312" w:eastAsia="仿宋_GB2312"/>
          <w:kern w:val="0"/>
          <w:sz w:val="32"/>
        </w:rPr>
      </w:pPr>
      <w:r>
        <w:rPr>
          <w:rFonts w:ascii="仿宋_GB2312" w:eastAsia="仿宋_GB2312" w:hint="eastAsia"/>
          <w:kern w:val="0"/>
          <w:sz w:val="32"/>
        </w:rPr>
        <w:t>第十六条　转化中心建立科技成果转化信息服务平台，为科技成果的登记、查询、使用、对外宣传和对接转化工作提供服务，并进行规范管理。</w:t>
      </w:r>
    </w:p>
    <w:p w:rsidR="00D11EE4" w:rsidRDefault="00D11EE4" w:rsidP="00D11EE4">
      <w:pPr>
        <w:adjustRightInd w:val="0"/>
        <w:snapToGrid w:val="0"/>
        <w:spacing w:line="560" w:lineRule="exact"/>
        <w:ind w:firstLineChars="200" w:firstLine="640"/>
        <w:rPr>
          <w:rFonts w:ascii="仿宋_GB2312" w:eastAsia="仿宋_GB2312"/>
          <w:kern w:val="0"/>
          <w:sz w:val="32"/>
        </w:rPr>
      </w:pPr>
      <w:r>
        <w:rPr>
          <w:rFonts w:ascii="仿宋_GB2312" w:eastAsia="仿宋_GB2312" w:hint="eastAsia"/>
          <w:kern w:val="0"/>
          <w:sz w:val="32"/>
        </w:rPr>
        <w:t>第十七条  转化中心设立知识产权专项基金，重点加强学校的知识产权建设工作，支持教师及学生的专利申报工作。探索引入第三方评价参与的专利申报和管理服务模式，重点支持有市场前景、成熟度高的授权专利进行成果转化。</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 xml:space="preserve">    第十八条 校属各部门按规定将上一年度科技成果转化情况（主要包括获得的科技成果、科技成果转化、收入及分配等情况）（于每年3月10日前）向转化中心报告。转化中心按规定将年度科技成果转化报告报送省科技厅和财政厅，同时抄送省人力资源和社会保障厅等相关部门。同时，将成果转化绩效作为二级单位考核参考依据之一。</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 xml:space="preserve">    第十九条　本办法适用于校本部在编的专业技术岗位工作人员，附属中小学不适用本办法；凡此前规定与本办法不一致者，以本办法为准。</w:t>
      </w:r>
    </w:p>
    <w:p w:rsidR="00D11EE4" w:rsidRDefault="00D11EE4" w:rsidP="00D11EE4">
      <w:pPr>
        <w:adjustRightInd w:val="0"/>
        <w:snapToGrid w:val="0"/>
        <w:spacing w:line="560" w:lineRule="exact"/>
        <w:rPr>
          <w:rFonts w:ascii="仿宋_GB2312" w:eastAsia="仿宋_GB2312"/>
          <w:kern w:val="0"/>
          <w:sz w:val="32"/>
        </w:rPr>
      </w:pPr>
      <w:r>
        <w:rPr>
          <w:rFonts w:ascii="仿宋_GB2312" w:eastAsia="仿宋_GB2312" w:hint="eastAsia"/>
          <w:kern w:val="0"/>
          <w:sz w:val="32"/>
        </w:rPr>
        <w:t xml:space="preserve">    第二十条  本实施办法自印发之日起实行，由学校人事处、科学技术处按工作职责解释相关条款。</w:t>
      </w:r>
    </w:p>
    <w:p w:rsidR="00D11EE4" w:rsidRDefault="00D11EE4" w:rsidP="00D11EE4"/>
    <w:p w:rsidR="00D11EE4" w:rsidRDefault="00D11EE4" w:rsidP="00D11EE4">
      <w:pPr>
        <w:adjustRightInd w:val="0"/>
        <w:snapToGrid w:val="0"/>
        <w:spacing w:line="560" w:lineRule="exact"/>
        <w:rPr>
          <w:rFonts w:ascii="仿宋_GB2312" w:eastAsia="仿宋_GB2312"/>
          <w:kern w:val="0"/>
          <w:sz w:val="32"/>
        </w:rPr>
      </w:pPr>
    </w:p>
    <w:p w:rsidR="00D11EE4" w:rsidRDefault="00D11EE4" w:rsidP="00D11EE4">
      <w:pPr>
        <w:adjustRightInd w:val="0"/>
        <w:snapToGrid w:val="0"/>
        <w:spacing w:line="560" w:lineRule="exact"/>
        <w:rPr>
          <w:rFonts w:ascii="仿宋_GB2312" w:eastAsia="仿宋_GB2312"/>
          <w:kern w:val="0"/>
          <w:sz w:val="32"/>
        </w:rPr>
      </w:pPr>
    </w:p>
    <w:p w:rsidR="00D11EE4" w:rsidRDefault="00D11EE4" w:rsidP="00D11EE4">
      <w:pPr>
        <w:adjustRightInd w:val="0"/>
        <w:snapToGrid w:val="0"/>
        <w:spacing w:line="560" w:lineRule="exact"/>
        <w:rPr>
          <w:rFonts w:ascii="宋体" w:hAnsi="宋体"/>
          <w:kern w:val="0"/>
          <w:sz w:val="32"/>
        </w:rPr>
      </w:pPr>
    </w:p>
    <w:p w:rsidR="00D11EE4" w:rsidRDefault="00D11EE4" w:rsidP="00D11EE4">
      <w:pPr>
        <w:adjustRightInd w:val="0"/>
        <w:snapToGrid w:val="0"/>
        <w:spacing w:line="560" w:lineRule="exact"/>
        <w:ind w:rightChars="366" w:right="769" w:firstLineChars="200" w:firstLine="640"/>
        <w:jc w:val="right"/>
        <w:rPr>
          <w:rFonts w:ascii="仿宋_GB2312" w:eastAsia="仿宋_GB2312" w:hAnsi="Calibri"/>
        </w:rPr>
      </w:pPr>
      <w:r>
        <w:rPr>
          <w:rFonts w:ascii="仿宋_GB2312" w:eastAsia="仿宋_GB2312" w:hint="eastAsia"/>
          <w:kern w:val="0"/>
          <w:sz w:val="32"/>
        </w:rPr>
        <w:t xml:space="preserve">   </w:t>
      </w:r>
    </w:p>
    <w:p w:rsidR="00D11EE4" w:rsidRDefault="00D11EE4" w:rsidP="00D11EE4">
      <w:pPr>
        <w:adjustRightInd w:val="0"/>
        <w:snapToGrid w:val="0"/>
        <w:spacing w:line="520" w:lineRule="exact"/>
        <w:rPr>
          <w:rFonts w:ascii="宋体" w:hAnsi="宋体"/>
          <w:kern w:val="0"/>
          <w:sz w:val="32"/>
        </w:rPr>
      </w:pPr>
    </w:p>
    <w:p w:rsidR="00D11EE4" w:rsidRDefault="00D11EE4" w:rsidP="00D11EE4">
      <w:pPr>
        <w:adjustRightInd w:val="0"/>
        <w:snapToGrid w:val="0"/>
        <w:spacing w:line="560" w:lineRule="exact"/>
        <w:rPr>
          <w:rFonts w:ascii="Calibri" w:hAnsi="Calibri"/>
        </w:rPr>
      </w:pPr>
    </w:p>
    <w:p w:rsidR="00D11EE4" w:rsidRDefault="00D11EE4" w:rsidP="00D11EE4">
      <w:pPr>
        <w:adjustRightInd w:val="0"/>
        <w:snapToGrid w:val="0"/>
        <w:spacing w:line="560" w:lineRule="exact"/>
        <w:rPr>
          <w:rFonts w:ascii="Calibri" w:hAnsi="Calibri"/>
        </w:rPr>
      </w:pPr>
    </w:p>
    <w:p w:rsidR="00D11EE4" w:rsidRDefault="00D11EE4" w:rsidP="00D11EE4">
      <w:pPr>
        <w:adjustRightInd w:val="0"/>
        <w:snapToGrid w:val="0"/>
        <w:spacing w:line="560" w:lineRule="exact"/>
        <w:rPr>
          <w:rFonts w:ascii="Calibri" w:hAnsi="Calibri"/>
        </w:rPr>
      </w:pPr>
    </w:p>
    <w:p w:rsidR="00D11EE4" w:rsidRDefault="00D11EE4" w:rsidP="00D11EE4">
      <w:pPr>
        <w:adjustRightInd w:val="0"/>
        <w:snapToGrid w:val="0"/>
        <w:spacing w:line="520" w:lineRule="exact"/>
        <w:rPr>
          <w:rFonts w:ascii="Calibri" w:hAnsi="Calibri"/>
        </w:rPr>
      </w:pPr>
    </w:p>
    <w:p w:rsidR="00D11EE4" w:rsidRDefault="00D11EE4" w:rsidP="00D11EE4">
      <w:pPr>
        <w:adjustRightInd w:val="0"/>
        <w:snapToGrid w:val="0"/>
        <w:spacing w:line="520" w:lineRule="exac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D11EE4" w:rsidTr="00AF58A1">
        <w:tc>
          <w:tcPr>
            <w:tcW w:w="8522" w:type="dxa"/>
            <w:tcBorders>
              <w:top w:val="single" w:sz="8" w:space="0" w:color="auto"/>
              <w:left w:val="nil"/>
              <w:bottom w:val="single" w:sz="12" w:space="0" w:color="auto"/>
              <w:right w:val="nil"/>
              <w:tl2br w:val="nil"/>
              <w:tr2bl w:val="nil"/>
            </w:tcBorders>
          </w:tcPr>
          <w:p w:rsidR="00D11EE4" w:rsidRDefault="00D11EE4" w:rsidP="00AF58A1">
            <w:pPr>
              <w:snapToGrid w:val="0"/>
              <w:ind w:firstLineChars="100" w:firstLine="280"/>
              <w:rPr>
                <w:rFonts w:ascii="Calibri" w:hAnsi="Calibri"/>
              </w:rPr>
            </w:pPr>
            <w:r>
              <w:rPr>
                <w:rFonts w:ascii="仿宋_GB2312" w:eastAsia="仿宋_GB2312" w:hint="eastAsia"/>
                <w:kern w:val="0"/>
                <w:sz w:val="28"/>
              </w:rPr>
              <w:t>南昌大学校长办公室                    2016年5月2日印发</w:t>
            </w:r>
          </w:p>
        </w:tc>
      </w:tr>
    </w:tbl>
    <w:p w:rsidR="00276C24" w:rsidRPr="00D11EE4" w:rsidRDefault="00276C24"/>
    <w:sectPr w:rsidR="00276C24" w:rsidRPr="00D11EE4" w:rsidSect="00276C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EC9" w:rsidRDefault="00020EC9" w:rsidP="00D11EE4">
      <w:r>
        <w:separator/>
      </w:r>
    </w:p>
  </w:endnote>
  <w:endnote w:type="continuationSeparator" w:id="0">
    <w:p w:rsidR="00020EC9" w:rsidRDefault="00020EC9" w:rsidP="00D11E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EC9" w:rsidRDefault="00020EC9" w:rsidP="00D11EE4">
      <w:r>
        <w:separator/>
      </w:r>
    </w:p>
  </w:footnote>
  <w:footnote w:type="continuationSeparator" w:id="0">
    <w:p w:rsidR="00020EC9" w:rsidRDefault="00020EC9" w:rsidP="00D11E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1EE4"/>
    <w:rsid w:val="00020EC9"/>
    <w:rsid w:val="000833F7"/>
    <w:rsid w:val="000A16B3"/>
    <w:rsid w:val="00222E53"/>
    <w:rsid w:val="00276C24"/>
    <w:rsid w:val="00307289"/>
    <w:rsid w:val="003343A1"/>
    <w:rsid w:val="003B480F"/>
    <w:rsid w:val="00471DB3"/>
    <w:rsid w:val="0052196C"/>
    <w:rsid w:val="0058293C"/>
    <w:rsid w:val="005A119A"/>
    <w:rsid w:val="00601428"/>
    <w:rsid w:val="0060349F"/>
    <w:rsid w:val="00655759"/>
    <w:rsid w:val="00657B8F"/>
    <w:rsid w:val="006A4254"/>
    <w:rsid w:val="0071330D"/>
    <w:rsid w:val="008938CC"/>
    <w:rsid w:val="008B0902"/>
    <w:rsid w:val="009356F2"/>
    <w:rsid w:val="009D5896"/>
    <w:rsid w:val="00B10748"/>
    <w:rsid w:val="00B42F9A"/>
    <w:rsid w:val="00C300FB"/>
    <w:rsid w:val="00C55019"/>
    <w:rsid w:val="00D047C4"/>
    <w:rsid w:val="00D11EE4"/>
    <w:rsid w:val="00D35165"/>
    <w:rsid w:val="00D81DF7"/>
    <w:rsid w:val="00DA1BF4"/>
    <w:rsid w:val="00DA48CE"/>
    <w:rsid w:val="00DE544F"/>
    <w:rsid w:val="00F97D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nhideWhenUsed/>
    <w:qFormat/>
    <w:rsid w:val="00D11EE4"/>
    <w:pPr>
      <w:jc w:val="both"/>
    </w:pPr>
    <w:rPr>
      <w:rFonts w:ascii="Times New Roman" w:eastAsia="宋体" w:hAnsi="Times New Roman" w:cs="Times New Roman"/>
      <w:szCs w:val="20"/>
    </w:rPr>
  </w:style>
  <w:style w:type="paragraph" w:styleId="1">
    <w:name w:val="heading 1"/>
    <w:basedOn w:val="a"/>
    <w:next w:val="a"/>
    <w:link w:val="1Char"/>
    <w:unhideWhenUsed/>
    <w:qFormat/>
    <w:rsid w:val="00D11EE4"/>
    <w:pPr>
      <w:keepNext/>
      <w:keepLines/>
      <w:jc w:val="center"/>
      <w:outlineLvl w:val="0"/>
    </w:pPr>
    <w:rPr>
      <w:rFonts w:ascii="Calibri" w:eastAsia="黑体" w:hAnsi="Calibri"/>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1EE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11EE4"/>
    <w:rPr>
      <w:sz w:val="18"/>
      <w:szCs w:val="18"/>
    </w:rPr>
  </w:style>
  <w:style w:type="paragraph" w:styleId="a4">
    <w:name w:val="footer"/>
    <w:basedOn w:val="a"/>
    <w:link w:val="Char0"/>
    <w:uiPriority w:val="99"/>
    <w:semiHidden/>
    <w:unhideWhenUsed/>
    <w:rsid w:val="00D11EE4"/>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11EE4"/>
    <w:rPr>
      <w:sz w:val="18"/>
      <w:szCs w:val="18"/>
    </w:rPr>
  </w:style>
  <w:style w:type="character" w:customStyle="1" w:styleId="1Char">
    <w:name w:val="标题 1 Char"/>
    <w:basedOn w:val="a0"/>
    <w:link w:val="1"/>
    <w:rsid w:val="00D11EE4"/>
    <w:rPr>
      <w:rFonts w:ascii="Calibri" w:eastAsia="黑体" w:hAnsi="Calibri" w:cs="Times New Roman"/>
      <w:b/>
      <w:kern w:val="44"/>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556</Words>
  <Characters>3172</Characters>
  <Application>Microsoft Office Word</Application>
  <DocSecurity>0</DocSecurity>
  <Lines>26</Lines>
  <Paragraphs>7</Paragraphs>
  <ScaleCrop>false</ScaleCrop>
  <Company>HP</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叶艳琴</dc:creator>
  <cp:keywords/>
  <dc:description/>
  <cp:lastModifiedBy>叶艳琴</cp:lastModifiedBy>
  <cp:revision>2</cp:revision>
  <dcterms:created xsi:type="dcterms:W3CDTF">2020-08-05T03:46:00Z</dcterms:created>
  <dcterms:modified xsi:type="dcterms:W3CDTF">2020-08-05T03:46:00Z</dcterms:modified>
</cp:coreProperties>
</file>