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科研平台</w:t>
      </w:r>
      <w:r>
        <w:rPr>
          <w:rFonts w:hint="eastAsia" w:ascii="宋体" w:hAnsi="宋体" w:eastAsia="宋体"/>
          <w:b/>
          <w:bCs/>
          <w:sz w:val="44"/>
          <w:szCs w:val="44"/>
        </w:rPr>
        <w:t>操作指南</w:t>
      </w:r>
    </w:p>
    <w:p>
      <w:pPr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1.登录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途径1：校内</w:t>
      </w:r>
      <w:r>
        <w:rPr>
          <w:rFonts w:hint="eastAsia" w:ascii="仿宋_GB2312" w:eastAsia="仿宋_GB2312"/>
          <w:sz w:val="32"/>
          <w:szCs w:val="32"/>
        </w:rPr>
        <w:t>连接校园网——登录门户系统——跳转至科研创新服务平台；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途径2：校外</w:t>
      </w:r>
      <w:r>
        <w:rPr>
          <w:rFonts w:hint="eastAsia" w:ascii="仿宋_GB2312" w:eastAsia="仿宋_GB2312"/>
          <w:sz w:val="32"/>
          <w:szCs w:val="32"/>
        </w:rPr>
        <w:t>登录需先登录EasyConnect客户端，（先进入网站http://dxvpn.ncu.edu.cn，点击右下角下载客户端，待桌面出现图标后，双击输入校园网上网工号密码即代表进入了校园网），再进入门户系统——切换到科研创新服务平台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2.具体操作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  <w14:ligatures w14:val="standardContextual"/>
        </w:rPr>
        <w:t>（1）</w:t>
      </w:r>
      <w:r>
        <w:rPr>
          <w:rFonts w:hint="eastAsia" w:ascii="仿宋_GB2312" w:eastAsia="仿宋_GB2312"/>
          <w:sz w:val="32"/>
          <w:szCs w:val="32"/>
        </w:rPr>
        <w:t>登录至科研创新服务平台后，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点击右上角人物图标，选择“平台负责人”身份。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（负责人或联系人都可登录填报信息，用联系人账号登录也选择负责人身份进行填报。）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drawing>
          <wp:inline distT="0" distB="0" distL="114300" distR="114300">
            <wp:extent cx="5264150" cy="2135505"/>
            <wp:effectExtent l="0" t="0" r="12700" b="17145"/>
            <wp:docPr id="2" name="图片 2" descr="1e77fb8a26aa78d4f08d52eb5ffab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77fb8a26aa78d4f08d52eb5ffab9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点击“平台名称”或最右边“编辑”可进行平台相关内容填报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，完善平台信息。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3515" cy="2234565"/>
            <wp:effectExtent l="0" t="0" r="13335" b="13335"/>
            <wp:docPr id="4" name="图片 4" descr="e45ee0d0b189925041e3fd1f52aab4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45ee0d0b189925041e3fd1f52aab4d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2245" cy="1911350"/>
            <wp:effectExtent l="0" t="0" r="14605" b="12700"/>
            <wp:docPr id="7" name="图片 7" descr="b5540f9d055de6df8dc493e4e08e13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5540f9d055de6df8dc493e4e08e13f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点击上方“统计表下载”图标，勾选对应内容进行平台业绩明细的自查核实。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6690" cy="2376170"/>
            <wp:effectExtent l="0" t="0" r="10160" b="5080"/>
            <wp:docPr id="8" name="图片 8" descr="0161fb9398ff7efc1b8f5bc0a6d6a1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161fb9398ff7efc1b8f5bc0a6d6a1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点击“平台年报”，下载模板，完成年报编制并上传。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59070" cy="2665095"/>
            <wp:effectExtent l="0" t="0" r="17780" b="1905"/>
            <wp:docPr id="1" name="图片 1" descr="ebf5401d7a217444dcf8031f9ad33a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f5401d7a217444dcf8031f9ad33a8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4D7036"/>
    <w:multiLevelType w:val="singleLevel"/>
    <w:tmpl w:val="264D703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E196C"/>
    <w:rsid w:val="228739E3"/>
    <w:rsid w:val="35BA1041"/>
    <w:rsid w:val="3BAE196C"/>
    <w:rsid w:val="4ACA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2026-01-06T07:46:00Z</dcterms:created>
  <dc:creator>高婧</dc:creator>
  <cp:lastModifiedBy>高婧</cp:lastModifiedBy>
  <dcterms:modified xsi:type="dcterms:W3CDTF">2026-01-07T01:37:31Z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2D1B439D9EA84CB398EF70A52E026A8A</vt:lpwstr>
  </property>
</Properties>
</file>